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</w:pPr>
      <w:r>
        <w:rPr/>
        <w:t>Титульний аркуш Повідомлення (Повідомлення про інформацію)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tabs>
          <w:tab w:pos="5472" w:val="left" w:leader="none"/>
        </w:tabs>
        <w:ind w:left="115"/>
      </w:pPr>
      <w:r>
        <w:rPr>
          <w:w w:val="101"/>
          <w:u w:val="single"/>
        </w:rPr>
        <w:t> </w:t>
      </w:r>
      <w:r>
        <w:rPr>
          <w:spacing w:val="4"/>
          <w:u w:val="single"/>
        </w:rPr>
        <w:t> </w:t>
      </w:r>
      <w:r>
        <w:rPr>
          <w:u w:val="single"/>
        </w:rPr>
        <w:t>01.06.2020</w:t>
        <w:tab/>
      </w:r>
    </w:p>
    <w:p>
      <w:pPr>
        <w:spacing w:before="95"/>
        <w:ind w:left="235" w:right="0" w:firstLine="0"/>
        <w:jc w:val="left"/>
        <w:rPr>
          <w:sz w:val="19"/>
        </w:rPr>
      </w:pPr>
      <w:r>
        <w:rPr>
          <w:w w:val="105"/>
          <w:sz w:val="19"/>
        </w:rPr>
        <w:t>(дата реєстрації емітентом електронного документа)</w:t>
      </w:r>
    </w:p>
    <w:p>
      <w:pPr>
        <w:pStyle w:val="BodyText"/>
        <w:spacing w:before="17" w:after="17"/>
        <w:ind w:left="235"/>
      </w:pPr>
      <w:r>
        <w:rPr/>
        <w:t>№ 70</w:t>
      </w: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267.850pt;height:.75pt;mso-position-horizontal-relative:char;mso-position-vertical-relative:line" coordorigin="0,0" coordsize="5357,15">
            <v:line style="position:absolute" from="0,7" to="5357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58"/>
        <w:ind w:left="235" w:right="0" w:firstLine="0"/>
        <w:jc w:val="left"/>
        <w:rPr>
          <w:sz w:val="19"/>
        </w:rPr>
      </w:pPr>
      <w:r>
        <w:rPr>
          <w:w w:val="105"/>
          <w:sz w:val="19"/>
        </w:rPr>
        <w:t>(вихідний реєстраційний номер електронного документа)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235" w:right="425"/>
      </w:pPr>
      <w:r>
        <w:rPr/>
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змінами).</w:t>
      </w:r>
    </w:p>
    <w:p>
      <w:pPr>
        <w:pStyle w:val="BodyText"/>
      </w:pPr>
    </w:p>
    <w:p>
      <w:pPr>
        <w:pStyle w:val="BodyText"/>
        <w:tabs>
          <w:tab w:pos="1666" w:val="left" w:leader="none"/>
          <w:tab w:pos="4147" w:val="left" w:leader="none"/>
          <w:tab w:pos="4378" w:val="left" w:leader="none"/>
          <w:tab w:pos="5746" w:val="left" w:leader="none"/>
          <w:tab w:pos="7555" w:val="left" w:leader="none"/>
          <w:tab w:pos="10455" w:val="left" w:leader="none"/>
        </w:tabs>
        <w:spacing w:before="1"/>
        <w:ind w:left="115"/>
      </w:pPr>
      <w:r>
        <w:rPr>
          <w:w w:val="101"/>
          <w:u w:val="single"/>
        </w:rPr>
        <w:t> </w:t>
      </w:r>
      <w:r>
        <w:rPr>
          <w:u w:val="single"/>
        </w:rPr>
        <w:tab/>
        <w:t>Директор</w:t>
        <w:tab/>
      </w:r>
      <w:r>
        <w:rPr/>
        <w:tab/>
      </w:r>
      <w:r>
        <w:rPr>
          <w:u w:val="single"/>
        </w:rPr>
        <w:t> </w:t>
        <w:tab/>
        <w:t> </w:t>
        <w:tab/>
        <w:t>Сидорук</w:t>
      </w:r>
      <w:r>
        <w:rPr>
          <w:spacing w:val="22"/>
          <w:u w:val="single"/>
        </w:rPr>
        <w:t> </w:t>
      </w:r>
      <w:r>
        <w:rPr>
          <w:spacing w:val="-3"/>
          <w:u w:val="single"/>
        </w:rPr>
        <w:t>І.П.</w:t>
        <w:tab/>
      </w:r>
    </w:p>
    <w:p>
      <w:pPr>
        <w:tabs>
          <w:tab w:pos="4699" w:val="left" w:leader="none"/>
          <w:tab w:pos="6072" w:val="left" w:leader="none"/>
        </w:tabs>
        <w:spacing w:line="247" w:lineRule="auto" w:before="17"/>
        <w:ind w:left="7541" w:right="234" w:hanging="5746"/>
        <w:jc w:val="left"/>
        <w:rPr>
          <w:sz w:val="19"/>
        </w:rPr>
      </w:pPr>
      <w:r>
        <w:rPr>
          <w:w w:val="105"/>
          <w:sz w:val="19"/>
        </w:rPr>
        <w:t>(посада)</w:t>
        <w:tab/>
        <w:t>(підпис)</w:t>
        <w:tab/>
        <w:t>(прізвище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та</w:t>
      </w:r>
      <w:r>
        <w:rPr>
          <w:spacing w:val="-22"/>
          <w:w w:val="105"/>
          <w:sz w:val="19"/>
        </w:rPr>
        <w:t> </w:t>
      </w:r>
      <w:r>
        <w:rPr>
          <w:w w:val="105"/>
          <w:sz w:val="19"/>
        </w:rPr>
        <w:t>ініціали</w:t>
      </w:r>
      <w:r>
        <w:rPr>
          <w:spacing w:val="-22"/>
          <w:w w:val="105"/>
          <w:sz w:val="19"/>
        </w:rPr>
        <w:t> </w:t>
      </w:r>
      <w:r>
        <w:rPr>
          <w:w w:val="105"/>
          <w:sz w:val="19"/>
        </w:rPr>
        <w:t>керівника</w:t>
      </w:r>
      <w:r>
        <w:rPr>
          <w:spacing w:val="-24"/>
          <w:w w:val="105"/>
          <w:sz w:val="19"/>
        </w:rPr>
        <w:t> </w:t>
      </w:r>
      <w:r>
        <w:rPr>
          <w:w w:val="105"/>
          <w:sz w:val="19"/>
        </w:rPr>
        <w:t>або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уповноваженої особи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емітента)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44" w:lineRule="auto"/>
        <w:ind w:left="295"/>
      </w:pPr>
      <w:r>
        <w:rPr/>
        <w:t>Особлива інформація (інформація про іпотечні цінні папери, сертифікати фонду операцій з нерухомістю) емітента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Heading2"/>
        <w:spacing w:before="93"/>
        <w:ind w:left="4167"/>
      </w:pPr>
      <w:r>
        <w:rPr/>
        <w:t>І. Загальні відомості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5" w:after="0"/>
        <w:ind w:left="361" w:right="0" w:hanging="237"/>
        <w:jc w:val="left"/>
        <w:rPr>
          <w:sz w:val="23"/>
        </w:rPr>
      </w:pPr>
      <w:r>
        <w:rPr>
          <w:sz w:val="23"/>
        </w:rPr>
        <w:t>Повне найменування емітента:</w:t>
      </w:r>
    </w:p>
    <w:p>
      <w:pPr>
        <w:pStyle w:val="BodyText"/>
        <w:spacing w:line="264" w:lineRule="exact"/>
        <w:ind w:left="826"/>
      </w:pPr>
      <w:r>
        <w:rPr/>
        <w:t>ПРИВАТНЕ АКЦІОНЕРНЕ ТОВАРИСТВО "ДАШКІВЦІ"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9" w:after="0"/>
        <w:ind w:left="826" w:right="7141" w:hanging="701"/>
        <w:jc w:val="left"/>
        <w:rPr>
          <w:sz w:val="23"/>
        </w:rPr>
      </w:pPr>
      <w:r>
        <w:rPr>
          <w:sz w:val="23"/>
        </w:rPr>
        <w:t>Організаційно-правова форма: Акціонерне</w:t>
      </w:r>
      <w:r>
        <w:rPr>
          <w:spacing w:val="6"/>
          <w:sz w:val="23"/>
        </w:rPr>
        <w:t> </w:t>
      </w:r>
      <w:r>
        <w:rPr>
          <w:sz w:val="23"/>
        </w:rPr>
        <w:t>товариство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4" w:after="0"/>
        <w:ind w:left="361" w:right="0" w:hanging="237"/>
        <w:jc w:val="left"/>
        <w:rPr>
          <w:sz w:val="23"/>
        </w:rPr>
      </w:pPr>
      <w:r>
        <w:rPr>
          <w:sz w:val="23"/>
        </w:rPr>
        <w:t>Місцезнаходження:</w:t>
      </w:r>
    </w:p>
    <w:p>
      <w:pPr>
        <w:pStyle w:val="BodyText"/>
        <w:spacing w:before="4"/>
        <w:ind w:left="826"/>
      </w:pPr>
      <w:r>
        <w:rPr/>
        <w:t>22363, Вінницька обл., Літинський район, село Дашківці, вул. Грушевського 1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</w:tabs>
        <w:spacing w:line="244" w:lineRule="auto" w:before="4" w:after="0"/>
        <w:ind w:left="826" w:right="6163" w:hanging="701"/>
        <w:jc w:val="left"/>
        <w:rPr>
          <w:sz w:val="23"/>
        </w:rPr>
      </w:pPr>
      <w:r>
        <w:rPr>
          <w:sz w:val="23"/>
        </w:rPr>
        <w:t>Ідентифікаційний код юридичної особи: 05527700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4" w:lineRule="auto" w:before="0" w:after="0"/>
        <w:ind w:left="826" w:right="6766" w:hanging="701"/>
        <w:jc w:val="left"/>
        <w:rPr>
          <w:sz w:val="23"/>
        </w:rPr>
      </w:pPr>
      <w:r>
        <w:rPr>
          <w:sz w:val="23"/>
        </w:rPr>
        <w:t>Міжміський код та телефон, факс: 04347 3-24-39, 04347</w:t>
      </w:r>
      <w:r>
        <w:rPr>
          <w:spacing w:val="24"/>
          <w:sz w:val="23"/>
        </w:rPr>
        <w:t> </w:t>
      </w:r>
      <w:r>
        <w:rPr>
          <w:sz w:val="23"/>
        </w:rPr>
        <w:t>3-24-39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4" w:lineRule="auto" w:before="0" w:after="0"/>
        <w:ind w:left="826" w:right="7290" w:hanging="701"/>
        <w:jc w:val="left"/>
        <w:rPr>
          <w:sz w:val="23"/>
        </w:rPr>
      </w:pPr>
      <w:r>
        <w:rPr>
          <w:sz w:val="23"/>
        </w:rPr>
        <w:t>Адреса електронної пошти:</w:t>
      </w:r>
      <w:hyperlink r:id="rId5">
        <w:r>
          <w:rPr>
            <w:sz w:val="23"/>
          </w:rPr>
          <w:t> dashkivci@emitent.net.ua</w:t>
        </w:r>
      </w:hyperlink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4" w:lineRule="auto" w:before="0" w:after="0"/>
        <w:ind w:left="125" w:right="243" w:firstLine="0"/>
        <w:jc w:val="left"/>
        <w:rPr>
          <w:sz w:val="23"/>
        </w:rPr>
      </w:pPr>
      <w:r>
        <w:rPr>
          <w:sz w:val="23"/>
        </w:rPr>
        <w:t>Найменування, ідентифікаційний код юридичної особи, країна реєстрації юридичної особи та  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</w:t>
      </w:r>
      <w:r>
        <w:rPr>
          <w:spacing w:val="-3"/>
          <w:sz w:val="23"/>
        </w:rPr>
        <w:t> </w:t>
      </w:r>
      <w:r>
        <w:rPr>
          <w:sz w:val="23"/>
        </w:rPr>
        <w:t>оприлюднення):</w:t>
      </w:r>
    </w:p>
    <w:p>
      <w:pPr>
        <w:pStyle w:val="BodyText"/>
        <w:spacing w:line="244" w:lineRule="auto"/>
        <w:ind w:left="125" w:right="425" w:firstLine="700"/>
      </w:pPr>
      <w:r>
        <w:rPr/>
        <w:t>Державна установа "Агентство з розвитку інфраструктури фондового ринку України", 21676262, Україна, DR/00001/APA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4" w:lineRule="auto" w:before="0" w:after="0"/>
        <w:ind w:left="125" w:right="304" w:firstLine="0"/>
        <w:jc w:val="left"/>
        <w:rPr>
          <w:sz w:val="23"/>
        </w:rPr>
      </w:pPr>
      <w:r>
        <w:rPr>
          <w:sz w:val="23"/>
        </w:rPr>
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</w:t>
      </w:r>
      <w:r>
        <w:rPr>
          <w:spacing w:val="8"/>
          <w:sz w:val="23"/>
        </w:rPr>
        <w:t> </w:t>
      </w:r>
      <w:r>
        <w:rPr>
          <w:sz w:val="23"/>
        </w:rPr>
        <w:t>безпосередньо):</w:t>
      </w:r>
    </w:p>
    <w:p>
      <w:pPr>
        <w:pStyle w:val="BodyText"/>
        <w:spacing w:line="247" w:lineRule="auto"/>
        <w:ind w:left="125" w:right="425" w:firstLine="700"/>
      </w:pPr>
      <w:r>
        <w:rPr/>
        <w:t>Державна установа "Агентство з розвитку інфраструктури фондового ринку України", 21676262, Україна, DR/00002/ARM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</w:pPr>
      <w:r>
        <w:rPr/>
        <w:t>ІІ. Дані про дату </w:t>
      </w:r>
      <w:r>
        <w:rPr>
          <w:spacing w:val="2"/>
        </w:rPr>
        <w:t>та </w:t>
      </w:r>
      <w:r>
        <w:rPr/>
        <w:t>місце оприлюднення Повідомлення (Повідомлення про</w:t>
      </w:r>
      <w:r>
        <w:rPr>
          <w:spacing w:val="53"/>
        </w:rPr>
        <w:t> </w:t>
      </w:r>
      <w:r>
        <w:rPr/>
        <w:t>інформацію)</w:t>
      </w:r>
    </w:p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480" w:bottom="280" w:left="700" w:right="640"/>
        </w:sectPr>
      </w:pPr>
    </w:p>
    <w:p>
      <w:pPr>
        <w:pStyle w:val="BodyText"/>
        <w:spacing w:before="94"/>
        <w:ind w:left="235"/>
      </w:pPr>
      <w:r>
        <w:rPr/>
        <w:t>Повідомлення розміщено на власному</w:t>
      </w:r>
    </w:p>
    <w:p>
      <w:pPr>
        <w:pStyle w:val="BodyText"/>
        <w:tabs>
          <w:tab w:pos="4754" w:val="right" w:leader="none"/>
        </w:tabs>
        <w:spacing w:line="247" w:lineRule="exact" w:before="118"/>
        <w:ind w:left="236"/>
      </w:pPr>
      <w:r>
        <w:rPr/>
        <w:br w:type="column"/>
      </w:r>
      <w:r>
        <w:rPr/>
        <w:t>http://</w:t>
      </w:r>
      <w:r>
        <w:rPr>
          <w:spacing w:val="-2"/>
        </w:rPr>
        <w:t> </w:t>
      </w:r>
      <w:r>
        <w:rPr/>
        <w:t>dashkivci.at.ua</w:t>
        <w:tab/>
        <w:t>01.06.2020</w:t>
      </w:r>
    </w:p>
    <w:p>
      <w:pPr>
        <w:spacing w:after="0" w:line="247" w:lineRule="exact"/>
        <w:sectPr>
          <w:type w:val="continuous"/>
          <w:pgSz w:w="11900" w:h="16840"/>
          <w:pgMar w:top="1480" w:bottom="280" w:left="700" w:right="640"/>
          <w:cols w:num="2" w:equalWidth="0">
            <w:col w:w="4108" w:space="1114"/>
            <w:col w:w="5338"/>
          </w:cols>
        </w:sectPr>
      </w:pPr>
    </w:p>
    <w:p>
      <w:pPr>
        <w:tabs>
          <w:tab w:pos="5482" w:val="left" w:leader="none"/>
          <w:tab w:pos="9207" w:val="left" w:leader="none"/>
        </w:tabs>
        <w:spacing w:line="230" w:lineRule="auto" w:before="0"/>
        <w:ind w:left="235" w:right="0" w:firstLine="0"/>
        <w:jc w:val="left"/>
        <w:rPr>
          <w:sz w:val="19"/>
        </w:rPr>
      </w:pPr>
      <w:r>
        <w:rPr/>
        <w:pict>
          <v:group style="position:absolute;margin-left:257.519989pt;margin-top:1.40126pt;width:298.350pt;height:.75pt;mso-position-horizontal-relative:page;mso-position-vertical-relative:paragraph;z-index:-251829248" coordorigin="5150,28" coordsize="5967,15">
            <v:line style="position:absolute" from="5150,35" to="9173,35" stroked="true" strokeweight=".72pt" strokecolor="#000000">
              <v:stroke dashstyle="solid"/>
            </v:line>
            <v:rect style="position:absolute;left:9172;top:28;width:15;height:15" filled="true" fillcolor="#000000" stroked="false">
              <v:fill type="solid"/>
            </v:rect>
            <v:line style="position:absolute" from="9187,35" to="11117,35" stroked="true" strokeweight=".72pt" strokecolor="#000000">
              <v:stroke dashstyle="solid"/>
            </v:line>
            <w10:wrap type="none"/>
          </v:group>
        </w:pict>
      </w:r>
      <w:r>
        <w:rPr>
          <w:sz w:val="23"/>
        </w:rPr>
        <w:t>веб-сайті учасника</w:t>
      </w:r>
      <w:r>
        <w:rPr>
          <w:spacing w:val="9"/>
          <w:sz w:val="23"/>
        </w:rPr>
        <w:t> </w:t>
      </w:r>
      <w:r>
        <w:rPr>
          <w:sz w:val="23"/>
        </w:rPr>
        <w:t>фондового</w:t>
      </w:r>
      <w:r>
        <w:rPr>
          <w:spacing w:val="6"/>
          <w:sz w:val="23"/>
        </w:rPr>
        <w:t> </w:t>
      </w:r>
      <w:r>
        <w:rPr>
          <w:sz w:val="23"/>
        </w:rPr>
        <w:t>ринку</w:t>
        <w:tab/>
      </w:r>
      <w:r>
        <w:rPr>
          <w:position w:val="-7"/>
          <w:sz w:val="19"/>
        </w:rPr>
        <w:t>(URL-адреса</w:t>
      </w:r>
      <w:r>
        <w:rPr>
          <w:spacing w:val="3"/>
          <w:position w:val="-7"/>
          <w:sz w:val="19"/>
        </w:rPr>
        <w:t> </w:t>
      </w:r>
      <w:r>
        <w:rPr>
          <w:position w:val="-7"/>
          <w:sz w:val="19"/>
        </w:rPr>
        <w:t>веб-сайту)</w:t>
        <w:tab/>
        <w:t>(дата)</w:t>
      </w:r>
    </w:p>
    <w:p>
      <w:pPr>
        <w:spacing w:after="0" w:line="230" w:lineRule="auto"/>
        <w:jc w:val="left"/>
        <w:rPr>
          <w:sz w:val="19"/>
        </w:rPr>
        <w:sectPr>
          <w:type w:val="continuous"/>
          <w:pgSz w:w="11900" w:h="16840"/>
          <w:pgMar w:top="1480" w:bottom="280" w:left="700" w:right="640"/>
        </w:sectPr>
      </w:pPr>
    </w:p>
    <w:p>
      <w:pPr>
        <w:pStyle w:val="Heading2"/>
        <w:spacing w:line="247" w:lineRule="auto" w:before="79"/>
        <w:ind w:left="4916" w:hanging="3932"/>
      </w:pPr>
      <w:r>
        <w:rPr/>
        <w:t>Відомості про прийняття рішення про попереднє надання згоди на вчинення значних правочинів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258"/>
        <w:gridCol w:w="2434"/>
        <w:gridCol w:w="2439"/>
        <w:gridCol w:w="3308"/>
      </w:tblGrid>
      <w:tr>
        <w:trPr>
          <w:trHeight w:val="1112" w:hRule="atLeast"/>
        </w:trPr>
        <w:tc>
          <w:tcPr>
            <w:tcW w:w="744" w:type="dxa"/>
          </w:tcPr>
          <w:p>
            <w:pPr>
              <w:pStyle w:val="TableParagraph"/>
              <w:spacing w:before="446"/>
              <w:ind w:left="95" w:right="9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№ з/п</w:t>
            </w:r>
          </w:p>
        </w:tc>
        <w:tc>
          <w:tcPr>
            <w:tcW w:w="1258" w:type="dxa"/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150" w:right="129" w:hanging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Дата </w:t>
            </w:r>
            <w:r>
              <w:rPr>
                <w:b/>
                <w:sz w:val="19"/>
              </w:rPr>
              <w:t>прийняття </w:t>
            </w:r>
            <w:r>
              <w:rPr>
                <w:b/>
                <w:w w:val="105"/>
                <w:sz w:val="19"/>
              </w:rPr>
              <w:t>рішення</w:t>
            </w:r>
          </w:p>
        </w:tc>
        <w:tc>
          <w:tcPr>
            <w:tcW w:w="2434" w:type="dxa"/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318" w:right="287" w:hanging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Гранична сукупна вартість</w:t>
            </w:r>
            <w:r>
              <w:rPr>
                <w:b/>
                <w:spacing w:val="-25"/>
                <w:w w:val="105"/>
                <w:sz w:val="19"/>
              </w:rPr>
              <w:t> </w:t>
            </w:r>
            <w:r>
              <w:rPr>
                <w:b/>
                <w:spacing w:val="-3"/>
                <w:w w:val="105"/>
                <w:sz w:val="19"/>
              </w:rPr>
              <w:t>правочинів </w:t>
            </w:r>
            <w:r>
              <w:rPr>
                <w:b/>
                <w:w w:val="105"/>
                <w:sz w:val="19"/>
              </w:rPr>
              <w:t>(тис.грн)</w:t>
            </w:r>
          </w:p>
        </w:tc>
        <w:tc>
          <w:tcPr>
            <w:tcW w:w="2439" w:type="dxa"/>
          </w:tcPr>
          <w:p>
            <w:pPr>
              <w:pStyle w:val="TableParagraph"/>
              <w:spacing w:line="244" w:lineRule="auto"/>
              <w:ind w:left="332" w:right="306" w:hanging="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Вартість активів емітента за даними останньої річної </w:t>
            </w:r>
            <w:r>
              <w:rPr>
                <w:b/>
                <w:sz w:val="19"/>
              </w:rPr>
              <w:t>фінансової звітності</w:t>
            </w:r>
          </w:p>
          <w:p>
            <w:pPr>
              <w:pStyle w:val="TableParagraph"/>
              <w:spacing w:line="200" w:lineRule="exact" w:before="1"/>
              <w:ind w:left="804" w:right="77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(тис.грн)</w:t>
            </w:r>
          </w:p>
        </w:tc>
        <w:tc>
          <w:tcPr>
            <w:tcW w:w="3308" w:type="dxa"/>
          </w:tcPr>
          <w:p>
            <w:pPr>
              <w:pStyle w:val="TableParagraph"/>
              <w:spacing w:line="244" w:lineRule="auto"/>
              <w:ind w:left="216" w:right="200" w:firstLine="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Співвідношення граничної сукупної</w:t>
            </w:r>
            <w:r>
              <w:rPr>
                <w:b/>
                <w:spacing w:val="-2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вартості</w:t>
            </w:r>
            <w:r>
              <w:rPr>
                <w:b/>
                <w:spacing w:val="-2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правочинів</w:t>
            </w:r>
            <w:r>
              <w:rPr>
                <w:b/>
                <w:spacing w:val="-25"/>
                <w:w w:val="105"/>
                <w:sz w:val="19"/>
              </w:rPr>
              <w:t> </w:t>
            </w:r>
            <w:r>
              <w:rPr>
                <w:b/>
                <w:spacing w:val="3"/>
                <w:w w:val="105"/>
                <w:sz w:val="19"/>
              </w:rPr>
              <w:t>до </w:t>
            </w:r>
            <w:r>
              <w:rPr>
                <w:b/>
                <w:w w:val="105"/>
                <w:sz w:val="19"/>
              </w:rPr>
              <w:t>вартості активів емітента за даними останньої</w:t>
            </w:r>
            <w:r>
              <w:rPr>
                <w:b/>
                <w:spacing w:val="-1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річної</w:t>
            </w:r>
          </w:p>
          <w:p>
            <w:pPr>
              <w:pStyle w:val="TableParagraph"/>
              <w:spacing w:line="200" w:lineRule="exact" w:before="1"/>
              <w:ind w:left="123" w:righ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фінансової звітності (у відсотках)</w:t>
            </w:r>
          </w:p>
        </w:tc>
      </w:tr>
      <w:tr>
        <w:trPr>
          <w:trHeight w:val="292" w:hRule="atLeast"/>
        </w:trPr>
        <w:tc>
          <w:tcPr>
            <w:tcW w:w="744" w:type="dxa"/>
          </w:tcPr>
          <w:p>
            <w:pPr>
              <w:pStyle w:val="TableParagraph"/>
              <w:spacing w:before="28"/>
              <w:ind w:left="6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258" w:type="dxa"/>
          </w:tcPr>
          <w:p>
            <w:pPr>
              <w:pStyle w:val="TableParagraph"/>
              <w:spacing w:before="28"/>
              <w:ind w:left="11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2434" w:type="dxa"/>
          </w:tcPr>
          <w:p>
            <w:pPr>
              <w:pStyle w:val="TableParagraph"/>
              <w:spacing w:before="28"/>
              <w:ind w:left="24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2439" w:type="dxa"/>
          </w:tcPr>
          <w:p>
            <w:pPr>
              <w:pStyle w:val="TableParagraph"/>
              <w:spacing w:before="28"/>
              <w:ind w:left="19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3308" w:type="dxa"/>
          </w:tcPr>
          <w:p>
            <w:pPr>
              <w:pStyle w:val="TableParagraph"/>
              <w:spacing w:before="28"/>
              <w:ind w:left="3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744" w:type="dxa"/>
          </w:tcPr>
          <w:p>
            <w:pPr>
              <w:pStyle w:val="TableParagraph"/>
              <w:spacing w:line="214" w:lineRule="exact"/>
              <w:ind w:left="6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1258" w:type="dxa"/>
          </w:tcPr>
          <w:p>
            <w:pPr>
              <w:pStyle w:val="TableParagraph"/>
              <w:spacing w:line="214" w:lineRule="exact"/>
              <w:ind w:left="160" w:right="145"/>
              <w:rPr>
                <w:sz w:val="19"/>
              </w:rPr>
            </w:pPr>
            <w:r>
              <w:rPr>
                <w:w w:val="105"/>
                <w:sz w:val="19"/>
              </w:rPr>
              <w:t>30.05.2020</w:t>
            </w:r>
          </w:p>
        </w:tc>
        <w:tc>
          <w:tcPr>
            <w:tcW w:w="2434" w:type="dxa"/>
          </w:tcPr>
          <w:p>
            <w:pPr>
              <w:pStyle w:val="TableParagraph"/>
              <w:spacing w:line="214" w:lineRule="exact"/>
              <w:ind w:left="877" w:right="853"/>
              <w:rPr>
                <w:sz w:val="19"/>
              </w:rPr>
            </w:pPr>
            <w:r>
              <w:rPr>
                <w:w w:val="105"/>
                <w:sz w:val="19"/>
              </w:rPr>
              <w:t>100 000</w:t>
            </w:r>
          </w:p>
        </w:tc>
        <w:tc>
          <w:tcPr>
            <w:tcW w:w="2439" w:type="dxa"/>
          </w:tcPr>
          <w:p>
            <w:pPr>
              <w:pStyle w:val="TableParagraph"/>
              <w:spacing w:line="214" w:lineRule="exact"/>
              <w:ind w:left="798" w:right="779"/>
              <w:rPr>
                <w:sz w:val="19"/>
              </w:rPr>
            </w:pPr>
            <w:r>
              <w:rPr>
                <w:w w:val="105"/>
                <w:sz w:val="19"/>
              </w:rPr>
              <w:t>201 768</w:t>
            </w:r>
          </w:p>
        </w:tc>
        <w:tc>
          <w:tcPr>
            <w:tcW w:w="3308" w:type="dxa"/>
          </w:tcPr>
          <w:p>
            <w:pPr>
              <w:pStyle w:val="TableParagraph"/>
              <w:spacing w:line="214" w:lineRule="exact"/>
              <w:ind w:left="122" w:right="109"/>
              <w:rPr>
                <w:sz w:val="19"/>
              </w:rPr>
            </w:pPr>
            <w:r>
              <w:rPr>
                <w:w w:val="105"/>
                <w:sz w:val="19"/>
              </w:rPr>
              <w:t>49,5618</w:t>
            </w:r>
          </w:p>
        </w:tc>
      </w:tr>
      <w:tr>
        <w:trPr>
          <w:trHeight w:val="287" w:hRule="atLeast"/>
        </w:trPr>
        <w:tc>
          <w:tcPr>
            <w:tcW w:w="10183" w:type="dxa"/>
            <w:gridSpan w:val="5"/>
          </w:tcPr>
          <w:p>
            <w:pPr>
              <w:pStyle w:val="TableParagraph"/>
              <w:spacing w:before="2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Зміст інформації:</w:t>
            </w:r>
          </w:p>
        </w:tc>
      </w:tr>
      <w:tr>
        <w:trPr>
          <w:trHeight w:val="6042" w:hRule="atLeast"/>
        </w:trPr>
        <w:tc>
          <w:tcPr>
            <w:tcW w:w="10183" w:type="dxa"/>
            <w:gridSpan w:val="5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14" w:lineRule="exact" w:before="0" w:after="0"/>
              <w:ind w:left="258" w:right="0" w:hanging="157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Дата прийняття рішення: 30 травня 2020</w:t>
            </w:r>
            <w:r>
              <w:rPr>
                <w:spacing w:val="-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року.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0" w:val="left" w:leader="none"/>
              </w:tabs>
              <w:spacing w:line="240" w:lineRule="auto" w:before="7" w:after="0"/>
              <w:ind w:left="299" w:right="0" w:hanging="19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Назва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уповноваженого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органу,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що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його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прийняв: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Річні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Загальні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збори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акціонерів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ПрАТ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"Дашківці".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0" w:val="left" w:leader="none"/>
              </w:tabs>
              <w:spacing w:line="247" w:lineRule="auto" w:before="2" w:after="0"/>
              <w:ind w:left="102" w:right="89" w:firstLine="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Відомості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щодо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правочинів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із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зазначенням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їх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характеру: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Загальні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збори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приймають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рішення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про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попереднє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надання згоди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2"/>
                <w:w w:val="105"/>
                <w:sz w:val="19"/>
              </w:rPr>
              <w:t>на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вчинення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Товариством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значних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правочинів,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період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30.05.2020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2"/>
                <w:w w:val="105"/>
                <w:sz w:val="19"/>
              </w:rPr>
              <w:t>року</w:t>
            </w:r>
            <w:r>
              <w:rPr>
                <w:spacing w:val="-2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30.05.2021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року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(включно),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вартість яких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перевищує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25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відсотків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вартості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активів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даними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останньої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річної</w:t>
            </w:r>
            <w:r>
              <w:rPr>
                <w:spacing w:val="-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фінансової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звітності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товариства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та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предметом (характером) яких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є: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2" w:val="left" w:leader="none"/>
              </w:tabs>
              <w:spacing w:line="247" w:lineRule="auto" w:before="0" w:after="0"/>
              <w:ind w:left="102" w:right="89" w:firstLine="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одержання Товариством кредитів/позик (прийняття грошових зобов'язань), гарантій, акредитивів </w:t>
            </w:r>
            <w:r>
              <w:rPr>
                <w:spacing w:val="-3"/>
                <w:w w:val="105"/>
                <w:sz w:val="19"/>
              </w:rPr>
              <w:t>та/або </w:t>
            </w:r>
            <w:r>
              <w:rPr>
                <w:w w:val="105"/>
                <w:sz w:val="19"/>
              </w:rPr>
              <w:t>одержання будь-яких інших банківських продуктів/послуг у банківських</w:t>
            </w:r>
            <w:r>
              <w:rPr>
                <w:spacing w:val="-3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установах;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9" w:val="left" w:leader="none"/>
              </w:tabs>
              <w:spacing w:line="215" w:lineRule="exact" w:before="0" w:after="0"/>
              <w:ind w:left="218" w:right="0" w:hanging="11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передача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майна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(майнових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прав)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Товариства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заставу/іпотеку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та/або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укладання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інших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договорів;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8" w:val="left" w:leader="none"/>
              </w:tabs>
              <w:spacing w:line="247" w:lineRule="auto" w:before="0" w:after="0"/>
              <w:ind w:left="102" w:right="86" w:firstLine="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забезпечення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виконання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зобов'язань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(в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т.ч.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договору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поруки)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Товариства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та/або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забезпечення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зобов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'язань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будь-яких третіх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осіб;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7" w:val="left" w:leader="none"/>
              </w:tabs>
              <w:spacing w:line="247" w:lineRule="auto" w:before="1" w:after="0"/>
              <w:ind w:left="102" w:right="89" w:firstLine="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купівля-продаж майна (в тому числі нерухомого майна), відступлення права вимоги та/або переведення боргу, оренди </w:t>
            </w:r>
            <w:r>
              <w:rPr>
                <w:spacing w:val="-3"/>
                <w:w w:val="105"/>
                <w:sz w:val="19"/>
              </w:rPr>
              <w:t>та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лізингу;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2" w:val="left" w:leader="none"/>
              </w:tabs>
              <w:spacing w:line="215" w:lineRule="exact" w:before="0" w:after="0"/>
              <w:ind w:left="261" w:right="0" w:hanging="16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інші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господарські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правочини,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які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пов'язані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діяльністю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Товариства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і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яких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воно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виступає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будь-якою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із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сторін.</w:t>
            </w:r>
          </w:p>
          <w:p>
            <w:pPr>
              <w:pStyle w:val="TableParagraph"/>
              <w:spacing w:line="247" w:lineRule="auto" w:before="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При цьому гранична сукупна вартість значних правочинів, на вчинення яких загальними Зборами акціонерів надана попередня згода, не може перевищувати 100 000 000,0 (Сто мільйонів) гривень.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0" w:val="left" w:leader="none"/>
              </w:tabs>
              <w:spacing w:line="215" w:lineRule="exact" w:before="0" w:after="0"/>
              <w:ind w:left="299" w:right="0" w:hanging="19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Гранична сукупна вартість правочинів: 100000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тис.грн.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7" w:after="0"/>
              <w:ind w:left="347" w:right="0" w:hanging="19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Вартість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активів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Товариства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даними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останньої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річної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фінансової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звітності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201768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тис.грн.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3" w:val="left" w:leader="none"/>
              </w:tabs>
              <w:spacing w:line="242" w:lineRule="auto" w:before="7" w:after="0"/>
              <w:ind w:left="102" w:right="87" w:firstLine="4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Співвідношення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граничної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сукупності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вартості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правочинів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2"/>
                <w:w w:val="105"/>
                <w:sz w:val="19"/>
              </w:rPr>
              <w:t>до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вартості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активів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емітента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даними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останньої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річної фінансової звітності </w:t>
            </w:r>
            <w:r>
              <w:rPr>
                <w:spacing w:val="5"/>
                <w:w w:val="105"/>
                <w:sz w:val="19"/>
              </w:rPr>
              <w:t>(у </w:t>
            </w:r>
            <w:r>
              <w:rPr>
                <w:w w:val="105"/>
                <w:sz w:val="19"/>
              </w:rPr>
              <w:t>відсотках):</w:t>
            </w:r>
            <w:r>
              <w:rPr>
                <w:spacing w:val="-3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49,5618%.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5" w:val="left" w:leader="none"/>
              </w:tabs>
              <w:spacing w:line="240" w:lineRule="auto" w:before="1" w:after="0"/>
              <w:ind w:left="304" w:right="0" w:hanging="203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Загальна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кількість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голосуючих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акцій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3325638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шт;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кількість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голосуючих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акцій,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що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зареєстровані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для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участі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зборах</w:t>
            </w:r>
          </w:p>
          <w:p>
            <w:pPr>
              <w:pStyle w:val="TableParagraph"/>
              <w:spacing w:line="247" w:lineRule="auto" w:before="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- 3325638 голоси; кількість голосуючих акцій, що проголосували "за" - 3325638 голоси; кількість голосуючих акцій, що проголосували "проти" прийняття рішення - 0.</w:t>
            </w:r>
          </w:p>
          <w:p>
            <w:pPr>
              <w:pStyle w:val="TableParagraph"/>
              <w:spacing w:line="242" w:lineRule="auto" w:before="1"/>
              <w:ind w:right="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</w:t>
            </w:r>
          </w:p>
          <w:p>
            <w:pPr>
              <w:pStyle w:val="TableParagraph"/>
              <w:tabs>
                <w:tab w:pos="1379" w:val="left" w:leader="none"/>
              </w:tabs>
              <w:spacing w:before="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Директор</w:t>
              <w:tab/>
              <w:t>Сидорук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І.П.</w:t>
            </w:r>
          </w:p>
        </w:tc>
      </w:tr>
    </w:tbl>
    <w:sectPr>
      <w:pgSz w:w="11900" w:h="16840"/>
      <w:pgMar w:top="1460" w:bottom="280" w:left="7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."/>
      <w:lvlJc w:val="left"/>
      <w:pPr>
        <w:ind w:left="299" w:hanging="197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19"/>
        <w:szCs w:val="19"/>
        <w:lang w:val="uk-UA" w:eastAsia="uk-UA" w:bidi="uk-UA"/>
      </w:rPr>
    </w:lvl>
    <w:lvl w:ilvl="1">
      <w:start w:val="0"/>
      <w:numFmt w:val="bullet"/>
      <w:lvlText w:val="•"/>
      <w:lvlJc w:val="left"/>
      <w:pPr>
        <w:ind w:left="1286" w:hanging="197"/>
      </w:pPr>
      <w:rPr>
        <w:rFonts w:hint="default"/>
        <w:lang w:val="uk-UA" w:eastAsia="uk-UA" w:bidi="uk-UA"/>
      </w:rPr>
    </w:lvl>
    <w:lvl w:ilvl="2">
      <w:start w:val="0"/>
      <w:numFmt w:val="bullet"/>
      <w:lvlText w:val="•"/>
      <w:lvlJc w:val="left"/>
      <w:pPr>
        <w:ind w:left="2273" w:hanging="197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3260" w:hanging="197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4247" w:hanging="197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5234" w:hanging="197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6220" w:hanging="197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7207" w:hanging="197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8194" w:hanging="197"/>
      </w:pPr>
      <w:rPr>
        <w:rFonts w:hint="default"/>
        <w:lang w:val="uk-UA" w:eastAsia="uk-UA" w:bidi="uk-U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139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uk-UA" w:eastAsia="uk-UA" w:bidi="uk-UA"/>
      </w:rPr>
    </w:lvl>
    <w:lvl w:ilvl="1">
      <w:start w:val="0"/>
      <w:numFmt w:val="bullet"/>
      <w:lvlText w:val="•"/>
      <w:lvlJc w:val="left"/>
      <w:pPr>
        <w:ind w:left="1106" w:hanging="139"/>
      </w:pPr>
      <w:rPr>
        <w:rFonts w:hint="default"/>
        <w:lang w:val="uk-UA" w:eastAsia="uk-UA" w:bidi="uk-UA"/>
      </w:rPr>
    </w:lvl>
    <w:lvl w:ilvl="2">
      <w:start w:val="0"/>
      <w:numFmt w:val="bullet"/>
      <w:lvlText w:val="•"/>
      <w:lvlJc w:val="left"/>
      <w:pPr>
        <w:ind w:left="2113" w:hanging="139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3120" w:hanging="139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4127" w:hanging="139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5134" w:hanging="139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6140" w:hanging="139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7147" w:hanging="139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8154" w:hanging="139"/>
      </w:pPr>
      <w:rPr>
        <w:rFonts w:hint="default"/>
        <w:lang w:val="uk-UA" w:eastAsia="uk-UA" w:bidi="uk-U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58" w:hanging="156"/>
        <w:jc w:val="left"/>
      </w:pPr>
      <w:rPr>
        <w:rFonts w:hint="default" w:ascii="Times New Roman" w:hAnsi="Times New Roman" w:eastAsia="Times New Roman" w:cs="Times New Roman"/>
        <w:spacing w:val="-6"/>
        <w:w w:val="103"/>
        <w:sz w:val="17"/>
        <w:szCs w:val="17"/>
        <w:lang w:val="uk-UA" w:eastAsia="uk-UA" w:bidi="uk-UA"/>
      </w:rPr>
    </w:lvl>
    <w:lvl w:ilvl="1">
      <w:start w:val="0"/>
      <w:numFmt w:val="bullet"/>
      <w:lvlText w:val="•"/>
      <w:lvlJc w:val="left"/>
      <w:pPr>
        <w:ind w:left="1250" w:hanging="156"/>
      </w:pPr>
      <w:rPr>
        <w:rFonts w:hint="default"/>
        <w:lang w:val="uk-UA" w:eastAsia="uk-UA" w:bidi="uk-UA"/>
      </w:rPr>
    </w:lvl>
    <w:lvl w:ilvl="2">
      <w:start w:val="0"/>
      <w:numFmt w:val="bullet"/>
      <w:lvlText w:val="•"/>
      <w:lvlJc w:val="left"/>
      <w:pPr>
        <w:ind w:left="2241" w:hanging="156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3232" w:hanging="156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4223" w:hanging="156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5214" w:hanging="156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6204" w:hanging="156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7195" w:hanging="156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8186" w:hanging="156"/>
      </w:pPr>
      <w:rPr>
        <w:rFonts w:hint="default"/>
        <w:lang w:val="uk-UA" w:eastAsia="uk-UA" w:bidi="uk-U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236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3"/>
        <w:szCs w:val="23"/>
        <w:lang w:val="uk-UA" w:eastAsia="uk-UA" w:bidi="uk-UA"/>
      </w:rPr>
    </w:lvl>
    <w:lvl w:ilvl="1">
      <w:start w:val="0"/>
      <w:numFmt w:val="bullet"/>
      <w:lvlText w:val="•"/>
      <w:lvlJc w:val="left"/>
      <w:pPr>
        <w:ind w:left="1380" w:hanging="236"/>
      </w:pPr>
      <w:rPr>
        <w:rFonts w:hint="default"/>
        <w:lang w:val="uk-UA" w:eastAsia="uk-UA" w:bidi="uk-UA"/>
      </w:rPr>
    </w:lvl>
    <w:lvl w:ilvl="2">
      <w:start w:val="0"/>
      <w:numFmt w:val="bullet"/>
      <w:lvlText w:val="•"/>
      <w:lvlJc w:val="left"/>
      <w:pPr>
        <w:ind w:left="2400" w:hanging="236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3420" w:hanging="236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4440" w:hanging="236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5460" w:hanging="236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6480" w:hanging="236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7500" w:hanging="236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8520" w:hanging="236"/>
      </w:pPr>
      <w:rPr>
        <w:rFonts w:hint="default"/>
        <w:lang w:val="uk-UA" w:eastAsia="uk-UA" w:bidi="uk-U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uk-UA" w:bidi="uk-U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uk-UA" w:eastAsia="uk-UA" w:bidi="uk-UA"/>
    </w:rPr>
  </w:style>
  <w:style w:styleId="Heading1" w:type="paragraph">
    <w:name w:val="Heading 1"/>
    <w:basedOn w:val="Normal"/>
    <w:uiPriority w:val="1"/>
    <w:qFormat/>
    <w:pPr>
      <w:spacing w:before="1"/>
      <w:ind w:left="290" w:right="345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uk-UA" w:eastAsia="uk-UA" w:bidi="uk-UA"/>
    </w:rPr>
  </w:style>
  <w:style w:styleId="Heading2" w:type="paragraph">
    <w:name w:val="Heading 2"/>
    <w:basedOn w:val="Normal"/>
    <w:uiPriority w:val="1"/>
    <w:qFormat/>
    <w:pPr>
      <w:ind w:left="581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uk-UA" w:eastAsia="uk-UA" w:bidi="uk-UA"/>
    </w:rPr>
  </w:style>
  <w:style w:styleId="ListParagraph" w:type="paragraph">
    <w:name w:val="List Paragraph"/>
    <w:basedOn w:val="Normal"/>
    <w:uiPriority w:val="1"/>
    <w:qFormat/>
    <w:pPr>
      <w:ind w:left="826" w:hanging="701"/>
    </w:pPr>
    <w:rPr>
      <w:rFonts w:ascii="Times New Roman" w:hAnsi="Times New Roman" w:eastAsia="Times New Roman" w:cs="Times New Roman"/>
      <w:lang w:val="uk-UA" w:eastAsia="uk-UA" w:bidi="uk-UA"/>
    </w:rPr>
  </w:style>
  <w:style w:styleId="TableParagraph" w:type="paragraph">
    <w:name w:val="Table Paragraph"/>
    <w:basedOn w:val="Normal"/>
    <w:uiPriority w:val="1"/>
    <w:qFormat/>
    <w:pPr>
      <w:ind w:left="102"/>
      <w:jc w:val="center"/>
    </w:pPr>
    <w:rPr>
      <w:rFonts w:ascii="Times New Roman" w:hAnsi="Times New Roman" w:eastAsia="Times New Roman" w:cs="Times New Roman"/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ashkivci@emitent.net.ua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2020-06-01T14:14:59Z</dcterms:created>
  <dcterms:modified xsi:type="dcterms:W3CDTF">2020-06-01T14:14:59Z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LastSaved">
    <vt:filetime>2020-06-01T00:00:00Z</vt:filetime>
  </property>
</Properties>
</file>